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181</w:t>
      </w:r>
    </w:p>
    <w:p>
      <w:r>
        <w:t>Bundesgericht (BGE), 1995-08-14, FR</w:t>
      </w:r>
    </w:p>
    <w:p>
      <w:r>
        <w:rPr>
          <w:b/>
        </w:rPr>
        <w:t xml:space="preserve">Quelle: </w:t>
      </w:r>
      <w:r>
        <w:t>https://mcp.opencaselaw.ch/entscheid/bge_121 I 181</w:t>
      </w:r>
    </w:p>
    <w:p>
      <w:r>
        <w:t>FR: ATF 121 I 181</w:t>
      </w:r>
    </w:p>
    <w:p>
      <w:r>
        <w:t>IT: DTF 121 I 181</w:t>
      </w:r>
    </w:p>
    <w:p>
      <w:pPr>
        <w:pStyle w:val="Heading2"/>
      </w:pPr>
      <w:r>
        <w:t>Regeste</w:t>
      </w:r>
    </w:p>
    <w:p>
      <w:r>
        <w:t>Regeste Art. 4 BV; Beschlagnahme eines als Kaution aus dem Ausland überwiesenen Betrags. Die Beschlagnahme eines als Kaution aus Deutschland überwiesenen Betrags, von dem vermutet wird, dass er deliktisch erworben wurde, verletzt im vorliegenden Fall den Grundsatz von Treu und Glauben nicht (E. 2b). Mit einer derartigen Beschlagnahme dürfen indessen die Bestimmungen betreffend die internationale Rechtshilfe nicht umgangen werden (E. 2c).</w:t>
      </w:r>
    </w:p>
    <w:p>
      <w:pPr>
        <w:pStyle w:val="Heading2"/>
      </w:pPr>
      <w:r>
        <w:t>Erwägungen</w:t>
      </w:r>
    </w:p>
    <w:p>
      <w:r>
        <w:rPr>
          <w:b/>
        </w:rPr>
        <w:t>E. 2</w:t>
      </w:r>
    </w:p>
    <w:p>
      <w:r>
        <w:t>Dans son arrêt du 20 juin 1995, la cour cantonale considère que le nouveau magistrat saisi de la cause n'a pas commis d'abus de droit en saisissant la somme de 100'000 fr. en mains de l'avocat du recourant, car il y avait des indices sérieux que cette somme versée par l'épouse du recourant provienne du produit d'infractions, de sorte qu'il se justifiait de les saisir provisoirement. Le recourant se prévaut en bref d'une violation des règles de la bonne foi ( art. 4 Cst. ). La somme litigieuse aurait été transmise d'Allemagne en Suisse sur la base de la seule assurance du magistrat instructeur que le montant en serait reçu comme caution et permettrait la mise en liberté du recourant; or le nouveau magistrat non seulement aurait refusé la mise en liberté, mais il aurait de plus saisi la somme transférée en Suisse à d'autres fins. La République fédérale d'Allemagne, dont le recourant aurait demandé la protection, aurait aussi été trompée par ce comportement des autorités suisses, soit du canton de Vaud. a) Le principe de la bonne foi entre administration et administré exige que l'une et l'autre se comportent réciproquement de manière loyale. En particulier, l'administration doit s'abstenir de tout comportement propre à tromper l'administré et elle ne saurait tirer aucun avantage des conséquences d'une incorrection ou insuffisance de sa part ( ATF 117 Ia 124 consid. 3, ATF 114 Ia 106 consid. 2a et les arrêts cités; cf. aussi les art. 107 al. 3 OJ et 23 PA, qui ne sont qu'une expression d'un principe général). Pour sa part, l'administré ne saurait non plus tirer d'une erreur de l'administration un profit propre à nuire à autrui. Il convient par BGE 121 I 181 S. 184 ailleurs de juger du respect des règles de la bonne foi par l'administration selon des critères objectifs, indépendamment de la personne des agents en cause; aussi l'administration peut-elle être rendue responsable d'un comportement contradictoire, même si celui-ci est dû à des personnes différentes, au besoin à l'insu des unes et des autres ( ATF 114 Ia 23 /24, 119 Ia 9 et 19). b) Il résulte de ce qui précède que, face au recourant, le comportement des deux magistrats successifs ayant conduit l'enquête est à attribuer à l'Etat comme s'il avait été accompli par le même magistrat. Il n'en résulte pas toutefois que le principe de la bonne foi ait été violé, dans le cas particulier, à l'égard du recourant. Contrairement à ce que soutient ce dernier, on ne saurait assimiler l'évocation, par le Juge informateur, d'une libération sous caution, à un "accord de procédure" liant le magistrat. Le recourant ne pouvait en particulier ignorer qu'une telle mesure devait encore faire l'objet d'une décision formelle (cf. arrêt non publié du 10 août 1995 relatif à la mise en liberté, consid. 3b). L'avis du juge informateur ne pouvait en tout cas constituer une assurance quant à l'affectation définitive de la somme qui pourrait être versée à titre de caution, de sorte que le recourant ne pouvait, à la seule évocation d'une libération contre caution, se croire à l'abri de l'application, prévisible, des règles relatives à la confiscation du produit de l'infraction et aux mesures provisoires à cet effet. Certes, lorsqu'il a laissé entrevoir la possibilité d'une libération contre caution, le magistrat ne pouvait pas ignorer que le recourant vivait uniquement, depuis 1991, des commissions perçues dans le cadre des faits qui lui sont reprochés; il pouvait toutefois raisonnablement compter avec la possibilité que l'argent destiné à servir de caution provienne d'une autre source ou d'autres personnes, comme c'est fréquemment le cas. L'appréciation juridique de la situation s'est fondamentalement modifiée lorsque l'autorité allemande a fait savoir que l'épouse du recourant avait vidé le contenu d'un safe détenu par le recourant. En effet, il devenait alors évident qu'on pouvait d'emblée suspecter que l'argent mis à disposition pour le paiement de la caution provenait d'une activité pouvant être tenue pour délictueuse. Compte tenu de ces circonstances, l'attitude des autorités d'instruction ne peut être considérée ni comme un piège tendu au recourant, ni même comme la violation d'une assurance donnée; elle ne viole pas le principe de la bonne foi à l'égard du prévenu. c) aa) La bonne foi doit également être respectée par les Etats dans l'accomplissement de leurs devoirs internationaux. Tel est en particulier BGE 121 I 181 S. 185 le cas dans le respect des règles internationales régissant l'entraide judiciaire ( ATF 119 Ib 71 ). C'est ainsi que la jurisprudence a sévèrement condamné des pratiques déloyales destinées à éluder les règles normales de l'entraide judiciaire (cf. l'arrêt non publié du Tribunal fédéral du 20 mars 1981, en la cause C., où, pour éluder l'impossibilité d'obtenir l'extradition d'un ressortissant de l'Etat de résidence, un Etat étranger avait tendu un piège à ce ressortissant pour le faire venir en Suisse, à laquelle l'extradition fut demandée, et qui la refusa; ASDI 1983 p. 228, cité in ATF 117 Ib 340 ; à ce sujet, cf. l'étude de SCHULTZ, Male captus, bene deditus in ASDI 1984 p. 93 ss., ainsi que les références citées dans l'ATF susmentionné). A cet égard, les Etats se doivent de respecter réciproquement leur souveraineté; ils méconnaîtraient cette règle s'ils se procuraient, par des moyens jugés objectivement déloyaux, des moyens de preuve ou des biens frappés de mesures conservatoires, en violation des règles régissant l'entraide internationale en matière pénale. bb) En l'espèce, l'Etat de Vaud est responsable d'un comportement qui a conduit le recourant et son épouse à transférer en Suisse une somme de 100'000 fr. sur la base de renseignements donnés par un magistrat, qui se sont révélés par la suite inexacts et ont permis la saisie de cette somme, contrairement à ce qui avait été envisagé et annoncé. Ce comportement a eu objectivement pour effet d'éluder les règles internationales relatives à l'entraide judiciaire, soit à soustraire à la souveraineté de la République fédérale d'Allemagne une somme d'argent de 100'000 fr. alors que des traités fixent les conditions auxquelles l'entraide judiciaire, notamment une saisie provisoire, est accordée. En effet, les relations entre les deux Etats sont régies à ce sujet par la Convention européenne d'entraide judiciaire en matière pénale (RS 0.351.1) et par l'accord complémentaire à cette convention conclu entre les deux Etats le 13 novembre 1969 (RS 0.351.913.61), notamment en son art. II, avec les observations communes formulées par les deux Etats à cet égard. Même si le recourant n'a pas expressément invoqué cet argument sous cette forme, il s'en est prévalu implicitement en prétendant qu'il y avait violation des règles de la bonne foi et d'un engagement suisse à l'égard de l'Allemagne, qui fautivement n'aurait pas été tenu, de sorte que le Tribunal fédéral doit entrer en matière à ce sujet. La décision attaquée ne saurait être maintenue telle quelle en tant qu'elle permet d'éluder, par des moyens fallacieux, les engagements suisses à l'égard de l'Etat étranger - moyen que le particulier touché est aussi recevable à invoquer selon la BGE 121 I 181 S. 186 jurisprudence ( ATF 117 Ib 340 et la jurisprudence citée). cc) Il sied de rétablir une situation conforme au droit international, ce qui n'empêche point de prévoir des mesures conservatoires. Il convient donc de rechercher si la saisie litigieuse pourrait être obtenue dans le respect des engagements internationaux de la Suisse. Le droit suisse autorise une saisie provisoire, destinée à assurer une confiscation éventuelle ultérieure ( ATF 117 Ia 427 consid. 20a); de son côté, l'art. II de l'accord complémentaire germano-suisse prévoit aussi une entraide en cette matière. Aussi conviendra-t-il de rechercher si l'autorité allemande compétente est disposée à saisir les avoirs des époux E. provenant des ressources tirées de l'activité reprochée dans le cadre de la présente procédure, et si elle consent à la saisie de la somme de 100'000 fr. Si tel était le cas, rien ne s'opposerait au maintien de la saisie. A défaut, celle-ci devrait être levée; d'ordinaire, la levée d'une saisie pénale doit ménager les intérêts des lésés en leur permettant de solliciter du juge civil des mesures conservatoires (cf. ATF 120 Ia 122 consid. 2, 119 Ib 73/74); dans la présente hypothèse, un tel objectif ne saurait être recherché que dans le respect de la souveraineté de l'Etat étranger.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